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09 апреля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Нефтеюганск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Агзямова</w:t>
      </w:r>
      <w:r>
        <w:rPr>
          <w:rFonts w:ascii="Times New Roman" w:eastAsia="Times New Roman" w:hAnsi="Times New Roman" w:cs="Times New Roman"/>
        </w:rPr>
        <w:t xml:space="preserve"> Р.</w:t>
      </w:r>
      <w:r>
        <w:rPr>
          <w:rFonts w:ascii="Times New Roman" w:eastAsia="Times New Roman" w:hAnsi="Times New Roman" w:cs="Times New Roman"/>
        </w:rPr>
        <w:t>В.</w:t>
      </w:r>
      <w:r>
        <w:rPr>
          <w:rFonts w:ascii="Times New Roman" w:eastAsia="Times New Roman" w:hAnsi="Times New Roman" w:cs="Times New Roman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Сорокина Руслана </w:t>
      </w:r>
      <w:r>
        <w:rPr>
          <w:rFonts w:ascii="Times New Roman" w:eastAsia="Times New Roman" w:hAnsi="Times New Roman" w:cs="Times New Roman"/>
        </w:rPr>
        <w:t>Фидаилевича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</w:rPr>
        <w:t>...</w:t>
      </w:r>
      <w:r>
        <w:rPr>
          <w:rStyle w:val="cat-PassportDatagrp-36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конкурсного управляющег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 xml:space="preserve">», зарегистрированного и </w:t>
      </w:r>
      <w:r>
        <w:rPr>
          <w:rStyle w:val="cat-PassportDatagrp-37rplc-9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0"/>
          <w:rFonts w:ascii="Times New Roman" w:eastAsia="Times New Roman" w:hAnsi="Times New Roman" w:cs="Times New Roman"/>
        </w:rPr>
        <w:t>...</w:t>
      </w:r>
      <w:r>
        <w:rPr>
          <w:rStyle w:val="cat-ExternalSystemDefinedgrp-4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Сорокин Р.Ф., являясь конкурсным управляющим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>», зарегистрированного по адресу: ХМАО-Югра, г. Нефтеюганск, ул. Проезд 5П, строение 15/14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п. 2 ст. 80 НК РФ, до </w:t>
      </w:r>
      <w:r>
        <w:rPr>
          <w:rFonts w:ascii="Times New Roman" w:eastAsia="Times New Roman" w:hAnsi="Times New Roman" w:cs="Times New Roman"/>
        </w:rPr>
        <w:t>21.01.2025</w:t>
      </w:r>
      <w:r>
        <w:rPr>
          <w:rFonts w:ascii="Times New Roman" w:eastAsia="Times New Roman" w:hAnsi="Times New Roman" w:cs="Times New Roman"/>
        </w:rPr>
        <w:t xml:space="preserve"> не представил в установленный срок в налоговый орган по месту учета – межрайонную ИФНС России №7 по Ханты-Мансийскому автономному округу – Югре, единую</w:t>
      </w:r>
      <w:r>
        <w:rPr>
          <w:rFonts w:ascii="Times New Roman" w:eastAsia="Times New Roman" w:hAnsi="Times New Roman" w:cs="Times New Roman"/>
        </w:rPr>
        <w:t xml:space="preserve"> (упрощенную) налоговую декларацию за </w:t>
      </w:r>
      <w:r>
        <w:rPr>
          <w:rFonts w:ascii="Times New Roman" w:eastAsia="Times New Roman" w:hAnsi="Times New Roman" w:cs="Times New Roman"/>
        </w:rPr>
        <w:t xml:space="preserve">12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Срок представления единой (упрощенной) налоговой декларации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>, квартальный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– не позднее </w:t>
      </w:r>
      <w:r>
        <w:rPr>
          <w:rFonts w:ascii="Times New Roman" w:eastAsia="Times New Roman" w:hAnsi="Times New Roman" w:cs="Times New Roman"/>
        </w:rPr>
        <w:t>20.01.2025</w:t>
      </w:r>
      <w:r>
        <w:rPr>
          <w:rFonts w:ascii="Times New Roman" w:eastAsia="Times New Roman" w:hAnsi="Times New Roman" w:cs="Times New Roman"/>
        </w:rPr>
        <w:t xml:space="preserve">, фактически налоговая декларация была представлена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Сорокин Р.Ф</w:t>
      </w:r>
      <w:r>
        <w:rPr>
          <w:rFonts w:ascii="Times New Roman" w:eastAsia="Times New Roman" w:hAnsi="Times New Roman" w:cs="Times New Roman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 xml:space="preserve"> в его отсутствие.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протоколом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46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.02.2025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конкурсны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управляющи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Сорокин Р.Ф</w:t>
      </w:r>
      <w:r>
        <w:rPr>
          <w:rFonts w:ascii="Times New Roman" w:eastAsia="Times New Roman" w:hAnsi="Times New Roman" w:cs="Times New Roman"/>
        </w:rPr>
        <w:t xml:space="preserve">., не представил </w:t>
      </w:r>
      <w:r>
        <w:rPr>
          <w:rFonts w:ascii="Times New Roman" w:eastAsia="Times New Roman" w:hAnsi="Times New Roman" w:cs="Times New Roman"/>
        </w:rPr>
        <w:t>в установленный срок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</w:rPr>
        <w:t>России №7 по</w:t>
      </w:r>
      <w:r>
        <w:rPr>
          <w:rFonts w:ascii="Times New Roman" w:eastAsia="Times New Roman" w:hAnsi="Times New Roman" w:cs="Times New Roman"/>
        </w:rPr>
        <w:t xml:space="preserve"> Ханты-Мансийскому автономному округу – Югре, </w:t>
      </w:r>
      <w:r>
        <w:rPr>
          <w:rFonts w:ascii="Times New Roman" w:eastAsia="Times New Roman" w:hAnsi="Times New Roman" w:cs="Times New Roman"/>
        </w:rPr>
        <w:t xml:space="preserve">единую (упрощенную) налоговую декларацию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месяцев, квартальный 2024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>12.02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квитанцией о приеме налоговой декларации (расчета) в электронном виде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2 ст. 80 Налогового Кодекса РФ,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п. 6 ст. 80 Налогового Кодекса РФ налоговая декларация (расчет) представляется в установленные законодательством о налогах и сборах сроки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постановлении Пленума Высшего Арбитражного Суда Российской Федерации от 22.06.2012 N 35 "О некоторых процессуальных вопросах, связанных с рассмотрением дел о банкротстве" разъяснено, что срок, на который первоначально вводится конкурсное производство, указывается в решении о признании должника банкротом и исчисляется с даты принятия такого решения (а в случае отдельного объявления его резолютивной части - с даты ее объявления).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Согласно ч. 2 ст. 126 Федерального закона от 26.10.2002 г. N 127-ФЗ "О несостоятельности (банкротстве)" с даты принятия арбитражным судом решения о признании должника банкротом и об открытии конкурсного производства прекращаются полномочия руководителя должника, иных органов управления должника и собственника имущества должника - унитарного предприятия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для исполнения обязательств должника). 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должника, печатей, штампов, материальных и иных ценностей конкурсному управляющему.</w:t>
      </w: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 соответствии с ч. 1 ст. 126 Федерального закона от 26.10.2002 г. N 127-ФЗ "О несостоятельности (банкротстве)" исполнение обязательств должника, в том числе по исполнению судебных актов, актов иных органов, должностных лиц, вынесенных в соответствии с гражданским законодательством, уголовным законодательством Российской Федерации, процессуальным законодательством и законодательством Российской Федерации о налогах и сборах, осуществляется конкурсным управляющим.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</w:rPr>
        <w:t>Сорокина Р.Ф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имущественное положение.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установленные обстоятельства, мировой судья считает возможным назначить правонарушителю наказание в виде предупреждения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конкурсного управляющего ООО «</w:t>
      </w:r>
      <w:r>
        <w:rPr>
          <w:rFonts w:ascii="Times New Roman" w:eastAsia="Times New Roman" w:hAnsi="Times New Roman" w:cs="Times New Roman"/>
        </w:rPr>
        <w:t>Ремсервис</w:t>
      </w:r>
      <w:r>
        <w:rPr>
          <w:rFonts w:ascii="Times New Roman" w:eastAsia="Times New Roman" w:hAnsi="Times New Roman" w:cs="Times New Roman"/>
        </w:rPr>
        <w:t xml:space="preserve">» Сорокина Руслана </w:t>
      </w:r>
      <w:r>
        <w:rPr>
          <w:rFonts w:ascii="Times New Roman" w:eastAsia="Times New Roman" w:hAnsi="Times New Roman" w:cs="Times New Roman"/>
        </w:rPr>
        <w:t>Фидаилевича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</w:p>
    <w:p>
      <w:pPr>
        <w:tabs>
          <w:tab w:val="left" w:pos="6135"/>
        </w:tabs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left="426"/>
        <w:jc w:val="both"/>
      </w:pP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426"/>
        <w:jc w:val="both"/>
      </w:pPr>
    </w:p>
    <w:p>
      <w:pPr>
        <w:spacing w:before="0" w:after="0"/>
        <w:ind w:left="426"/>
        <w:jc w:val="both"/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firstLine="567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ExternalSystemDefinedgrp-45rplc-10">
    <w:name w:val="cat-ExternalSystemDefined grp-45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UserDefinedgrp-46rplc-26">
    <w:name w:val="cat-UserDefined grp-46 rplc-26"/>
    <w:basedOn w:val="DefaultParagraphFont"/>
  </w:style>
  <w:style w:type="character" w:customStyle="1" w:styleId="cat-UserDefinedgrp-47rplc-42">
    <w:name w:val="cat-UserDefined grp-47 rplc-42"/>
    <w:basedOn w:val="DefaultParagraphFont"/>
  </w:style>
  <w:style w:type="character" w:customStyle="1" w:styleId="cat-UserDefinedgrp-48rplc-45">
    <w:name w:val="cat-UserDefined grp-4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